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C54EF" w14:textId="77777777" w:rsidR="00513779" w:rsidRDefault="00513779" w:rsidP="00513779">
      <w:pPr>
        <w:pStyle w:val="TOCHeading"/>
      </w:pPr>
      <w:r>
        <w:t>Process Description-</w:t>
      </w:r>
    </w:p>
    <w:p w14:paraId="275338B5" w14:textId="77777777" w:rsidR="00513779" w:rsidRDefault="00513779" w:rsidP="00513779">
      <w:pPr>
        <w:rPr>
          <w:lang w:val="en-US" w:eastAsia="ja-JP"/>
        </w:rPr>
      </w:pPr>
    </w:p>
    <w:p w14:paraId="3EB33E90" w14:textId="77777777" w:rsidR="00513779" w:rsidRDefault="00513779" w:rsidP="00513779">
      <w:pPr>
        <w:rPr>
          <w:lang w:val="en-US" w:eastAsia="ja-JP"/>
        </w:rPr>
      </w:pPr>
      <w:r>
        <w:rPr>
          <w:lang w:val="en-US" w:eastAsia="ja-JP"/>
        </w:rPr>
        <w:t>We have a copy of standard porting LOA for porting geographic numbers (GNP) as following for a walkthrough with details-</w:t>
      </w:r>
    </w:p>
    <w:p w14:paraId="7D73E6BC" w14:textId="77777777" w:rsidR="00513779" w:rsidRPr="00037227" w:rsidRDefault="00513779" w:rsidP="00513779">
      <w:pPr>
        <w:rPr>
          <w:lang w:val="en-US" w:eastAsia="ja-JP"/>
        </w:rPr>
      </w:pPr>
    </w:p>
    <w:p w14:paraId="6267C4FD" w14:textId="55E974D1" w:rsidR="00513779" w:rsidRDefault="00513779" w:rsidP="00513779">
      <w:pPr>
        <w:ind w:left="-709"/>
        <w:jc w:val="center"/>
        <w:rPr>
          <w:noProof/>
          <w:lang w:eastAsia="en-GB"/>
        </w:rPr>
      </w:pPr>
      <w:bookmarkStart w:id="0" w:name="_Toc387161658"/>
      <w:bookmarkEnd w:id="0"/>
      <w:r w:rsidRPr="00116F07">
        <w:rPr>
          <w:noProof/>
          <w:lang w:val="en-US" w:eastAsia="ja-JP"/>
        </w:rPr>
        <w:drawing>
          <wp:inline distT="0" distB="0" distL="0" distR="0" wp14:anchorId="3356B9D6" wp14:editId="0D2B6C61">
            <wp:extent cx="6645910" cy="519747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5197475"/>
                    </a:xfrm>
                    <a:prstGeom prst="rect">
                      <a:avLst/>
                    </a:prstGeom>
                    <a:noFill/>
                    <a:ln>
                      <a:noFill/>
                    </a:ln>
                  </pic:spPr>
                </pic:pic>
              </a:graphicData>
            </a:graphic>
          </wp:inline>
        </w:drawing>
      </w:r>
    </w:p>
    <w:p w14:paraId="41FD0024" w14:textId="77777777" w:rsidR="00513779" w:rsidRDefault="00513779" w:rsidP="00513779">
      <w:pPr>
        <w:rPr>
          <w:noProof/>
          <w:lang w:eastAsia="en-GB"/>
        </w:rPr>
      </w:pPr>
    </w:p>
    <w:p w14:paraId="21FB43F1" w14:textId="77777777" w:rsidR="00513779" w:rsidRDefault="00513779" w:rsidP="00513779">
      <w:pPr>
        <w:rPr>
          <w:noProof/>
          <w:lang w:eastAsia="en-GB"/>
        </w:rPr>
      </w:pPr>
    </w:p>
    <w:p w14:paraId="3F6A2661" w14:textId="77777777" w:rsidR="00513779" w:rsidRDefault="00513779" w:rsidP="00513779">
      <w:pPr>
        <w:rPr>
          <w:noProof/>
          <w:lang w:eastAsia="en-GB"/>
        </w:rPr>
      </w:pPr>
    </w:p>
    <w:p w14:paraId="664F290F" w14:textId="77777777" w:rsidR="00513779" w:rsidRDefault="00513779" w:rsidP="00513779">
      <w:pPr>
        <w:rPr>
          <w:noProof/>
          <w:lang w:eastAsia="en-GB"/>
        </w:rPr>
      </w:pPr>
    </w:p>
    <w:p w14:paraId="05E70BC7" w14:textId="77777777" w:rsidR="00513779" w:rsidRDefault="00513779" w:rsidP="00513779">
      <w:pPr>
        <w:rPr>
          <w:noProof/>
          <w:lang w:eastAsia="en-GB"/>
        </w:rPr>
      </w:pPr>
    </w:p>
    <w:p w14:paraId="0BBB9748" w14:textId="77777777" w:rsidR="00513779" w:rsidRDefault="00513779" w:rsidP="00513779">
      <w:pPr>
        <w:rPr>
          <w:noProof/>
          <w:lang w:eastAsia="en-GB"/>
        </w:rPr>
      </w:pPr>
    </w:p>
    <w:p w14:paraId="36A74B4C" w14:textId="77777777" w:rsidR="00513779" w:rsidRDefault="00513779" w:rsidP="00513779">
      <w:pPr>
        <w:rPr>
          <w:noProof/>
          <w:lang w:eastAsia="en-GB"/>
        </w:rPr>
      </w:pPr>
    </w:p>
    <w:p w14:paraId="4B00678B" w14:textId="77777777" w:rsidR="00513779" w:rsidRDefault="00513779" w:rsidP="00513779">
      <w:pPr>
        <w:rPr>
          <w:noProof/>
          <w:lang w:eastAsia="en-GB"/>
        </w:rPr>
      </w:pPr>
    </w:p>
    <w:p w14:paraId="69911D87" w14:textId="77777777" w:rsidR="00513779" w:rsidRDefault="00513779" w:rsidP="00513779">
      <w:pPr>
        <w:rPr>
          <w:noProof/>
          <w:lang w:eastAsia="en-GB"/>
        </w:rPr>
      </w:pPr>
    </w:p>
    <w:p w14:paraId="7F26C2AB" w14:textId="4A5AC7B4" w:rsidR="00513779" w:rsidRDefault="00513779" w:rsidP="00513779">
      <w:pPr>
        <w:ind w:left="-426"/>
        <w:rPr>
          <w:noProof/>
          <w:lang w:eastAsia="en-GB"/>
        </w:rPr>
      </w:pPr>
      <w:r w:rsidRPr="00481007">
        <w:rPr>
          <w:noProof/>
          <w:lang w:val="en-US" w:eastAsia="ja-JP"/>
        </w:rPr>
        <w:lastRenderedPageBreak/>
        <w:drawing>
          <wp:inline distT="0" distB="0" distL="0" distR="0" wp14:anchorId="21241592" wp14:editId="54548AB9">
            <wp:extent cx="6645910" cy="69621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6962140"/>
                    </a:xfrm>
                    <a:prstGeom prst="rect">
                      <a:avLst/>
                    </a:prstGeom>
                    <a:noFill/>
                    <a:ln>
                      <a:noFill/>
                    </a:ln>
                  </pic:spPr>
                </pic:pic>
              </a:graphicData>
            </a:graphic>
          </wp:inline>
        </w:drawing>
      </w:r>
    </w:p>
    <w:p w14:paraId="0D071947" w14:textId="77777777" w:rsidR="00513779" w:rsidRDefault="00513779" w:rsidP="00513779">
      <w:pPr>
        <w:rPr>
          <w:noProof/>
          <w:lang w:eastAsia="en-GB"/>
        </w:rPr>
      </w:pPr>
    </w:p>
    <w:p w14:paraId="646175B5" w14:textId="77777777" w:rsidR="00513779" w:rsidRDefault="00513779" w:rsidP="00513779">
      <w:pPr>
        <w:rPr>
          <w:noProof/>
          <w:lang w:eastAsia="en-GB"/>
        </w:rPr>
      </w:pPr>
    </w:p>
    <w:p w14:paraId="09ED9472" w14:textId="77777777" w:rsidR="00513779" w:rsidRDefault="00513779" w:rsidP="00513779"/>
    <w:p w14:paraId="7A649E45" w14:textId="77777777" w:rsidR="00513779" w:rsidRDefault="00513779" w:rsidP="00513779"/>
    <w:p w14:paraId="0118BA80" w14:textId="77777777" w:rsidR="00513779" w:rsidRDefault="00513779" w:rsidP="00513779"/>
    <w:p w14:paraId="2CB776AD" w14:textId="77777777" w:rsidR="00513779" w:rsidRDefault="00513779" w:rsidP="00513779"/>
    <w:p w14:paraId="15508AD7" w14:textId="77777777" w:rsidR="00513779" w:rsidRDefault="00513779" w:rsidP="00513779"/>
    <w:p w14:paraId="4DEB1DBA" w14:textId="6CA3511A" w:rsidR="00513779" w:rsidRDefault="00513779" w:rsidP="00513779">
      <w:pPr>
        <w:ind w:left="-426"/>
      </w:pPr>
      <w:r w:rsidRPr="0028049A">
        <w:rPr>
          <w:noProof/>
          <w:lang w:val="en-US" w:eastAsia="ja-JP"/>
        </w:rPr>
        <w:lastRenderedPageBreak/>
        <w:drawing>
          <wp:inline distT="0" distB="0" distL="0" distR="0" wp14:anchorId="005C38D1" wp14:editId="2D568E71">
            <wp:extent cx="6645910" cy="55670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5567045"/>
                    </a:xfrm>
                    <a:prstGeom prst="rect">
                      <a:avLst/>
                    </a:prstGeom>
                    <a:noFill/>
                    <a:ln>
                      <a:noFill/>
                    </a:ln>
                  </pic:spPr>
                </pic:pic>
              </a:graphicData>
            </a:graphic>
          </wp:inline>
        </w:drawing>
      </w:r>
    </w:p>
    <w:p w14:paraId="4FE052EE" w14:textId="77777777" w:rsidR="00513779" w:rsidRDefault="00513779" w:rsidP="00513779"/>
    <w:p w14:paraId="6BDA5B43" w14:textId="77777777" w:rsidR="00513779" w:rsidRDefault="00513779" w:rsidP="00513779"/>
    <w:p w14:paraId="32EBFB46" w14:textId="77777777" w:rsidR="00513779" w:rsidRPr="008F3545" w:rsidRDefault="00513779" w:rsidP="00513779">
      <w:pPr>
        <w:numPr>
          <w:ilvl w:val="0"/>
          <w:numId w:val="1"/>
        </w:numPr>
        <w:spacing w:before="30" w:after="0" w:line="240" w:lineRule="auto"/>
        <w:ind w:right="-20"/>
      </w:pPr>
      <w:r w:rsidRPr="008221B6">
        <w:rPr>
          <w:rFonts w:eastAsia="Arial"/>
          <w:b/>
          <w:bCs/>
          <w:sz w:val="18"/>
          <w:szCs w:val="18"/>
        </w:rPr>
        <w:t>Please terminate the service connection/access line at the losing provider (</w:t>
      </w:r>
      <w:proofErr w:type="spellStart"/>
      <w:r w:rsidRPr="008221B6">
        <w:rPr>
          <w:rFonts w:eastAsia="Arial"/>
          <w:b/>
          <w:bCs/>
          <w:sz w:val="18"/>
          <w:szCs w:val="18"/>
        </w:rPr>
        <w:t>EKPabg</w:t>
      </w:r>
      <w:proofErr w:type="spellEnd"/>
      <w:r w:rsidRPr="008221B6">
        <w:rPr>
          <w:rFonts w:eastAsia="Arial"/>
          <w:b/>
          <w:bCs/>
          <w:sz w:val="18"/>
          <w:szCs w:val="18"/>
        </w:rPr>
        <w:t>)</w:t>
      </w:r>
      <w:r>
        <w:t xml:space="preserve"> </w:t>
      </w:r>
      <w:r>
        <w:rPr>
          <w:sz w:val="20"/>
        </w:rPr>
        <w:t>–</w:t>
      </w:r>
      <w:r w:rsidRPr="008F3545">
        <w:rPr>
          <w:sz w:val="20"/>
        </w:rPr>
        <w:t xml:space="preserve"> </w:t>
      </w:r>
      <w:r>
        <w:rPr>
          <w:sz w:val="20"/>
        </w:rPr>
        <w:t>If you do not mark this box p</w:t>
      </w:r>
      <w:r w:rsidRPr="008F3545">
        <w:rPr>
          <w:sz w:val="20"/>
        </w:rPr>
        <w:t>orting without contract termination "</w:t>
      </w:r>
      <w:proofErr w:type="spellStart"/>
      <w:r w:rsidRPr="008F3545">
        <w:rPr>
          <w:sz w:val="20"/>
        </w:rPr>
        <w:t>Kündigung</w:t>
      </w:r>
      <w:proofErr w:type="spellEnd"/>
      <w:r w:rsidRPr="008F3545">
        <w:rPr>
          <w:sz w:val="20"/>
        </w:rPr>
        <w:t xml:space="preserve"> von </w:t>
      </w:r>
      <w:proofErr w:type="spellStart"/>
      <w:r w:rsidRPr="008F3545">
        <w:rPr>
          <w:sz w:val="20"/>
        </w:rPr>
        <w:t>Anschlüssen</w:t>
      </w:r>
      <w:proofErr w:type="spellEnd"/>
      <w:r w:rsidRPr="008F3545">
        <w:rPr>
          <w:sz w:val="20"/>
        </w:rPr>
        <w:t xml:space="preserve"> ..." is only possible for number with ranges if the contract was terminated and the cease date is in the past. As long the contract is still active at the losing provider or terminated with a future cease date, porting incl. contract termination should be requested (tick the box: </w:t>
      </w:r>
      <w:proofErr w:type="spellStart"/>
      <w:r w:rsidRPr="008F3545">
        <w:rPr>
          <w:sz w:val="20"/>
        </w:rPr>
        <w:t>Kündigung</w:t>
      </w:r>
      <w:proofErr w:type="spellEnd"/>
      <w:r w:rsidRPr="008F3545">
        <w:rPr>
          <w:sz w:val="20"/>
        </w:rPr>
        <w:t xml:space="preserve"> von </w:t>
      </w:r>
      <w:proofErr w:type="spellStart"/>
      <w:r w:rsidRPr="008F3545">
        <w:rPr>
          <w:sz w:val="20"/>
        </w:rPr>
        <w:t>Anschlüssen</w:t>
      </w:r>
      <w:proofErr w:type="spellEnd"/>
      <w:r w:rsidRPr="008F3545">
        <w:rPr>
          <w:sz w:val="20"/>
        </w:rPr>
        <w:t>…)</w:t>
      </w:r>
    </w:p>
    <w:p w14:paraId="22136F7E" w14:textId="77777777" w:rsidR="00513779" w:rsidRDefault="00513779" w:rsidP="00513779">
      <w:pPr>
        <w:numPr>
          <w:ilvl w:val="0"/>
          <w:numId w:val="1"/>
        </w:numPr>
        <w:rPr>
          <w:sz w:val="20"/>
        </w:rPr>
      </w:pPr>
      <w:r w:rsidRPr="00065EC7">
        <w:rPr>
          <w:b/>
          <w:sz w:val="20"/>
        </w:rPr>
        <w:t>With this I am requesting the porting of the</w:t>
      </w:r>
      <w:r>
        <w:rPr>
          <w:b/>
          <w:sz w:val="20"/>
        </w:rPr>
        <w:t xml:space="preserve"> below mentioned number/numbers</w:t>
      </w:r>
      <w:r>
        <w:rPr>
          <w:sz w:val="20"/>
        </w:rPr>
        <w:t>- This always has to be marked</w:t>
      </w:r>
    </w:p>
    <w:p w14:paraId="5EA8FE0D" w14:textId="77777777" w:rsidR="00513779" w:rsidRDefault="00513779" w:rsidP="00513779">
      <w:pPr>
        <w:tabs>
          <w:tab w:val="left" w:pos="2427"/>
        </w:tabs>
        <w:rPr>
          <w:sz w:val="20"/>
        </w:rPr>
      </w:pPr>
      <w:r>
        <w:rPr>
          <w:sz w:val="20"/>
        </w:rPr>
        <w:tab/>
      </w:r>
    </w:p>
    <w:p w14:paraId="14272B4A" w14:textId="77777777" w:rsidR="00513779" w:rsidRDefault="00513779" w:rsidP="00513779">
      <w:pPr>
        <w:rPr>
          <w:sz w:val="20"/>
        </w:rPr>
      </w:pPr>
    </w:p>
    <w:p w14:paraId="3DB4854F" w14:textId="77777777" w:rsidR="00513779" w:rsidRDefault="00513779" w:rsidP="00513779">
      <w:pPr>
        <w:rPr>
          <w:sz w:val="20"/>
        </w:rPr>
      </w:pPr>
    </w:p>
    <w:p w14:paraId="516AEFDB" w14:textId="77777777" w:rsidR="00513779" w:rsidRDefault="00513779" w:rsidP="00513779">
      <w:pPr>
        <w:rPr>
          <w:sz w:val="20"/>
        </w:rPr>
      </w:pPr>
    </w:p>
    <w:p w14:paraId="0E807B54" w14:textId="007AA0F0" w:rsidR="00513779" w:rsidRDefault="00513779" w:rsidP="00513779">
      <w:pPr>
        <w:rPr>
          <w:sz w:val="20"/>
        </w:rPr>
      </w:pPr>
    </w:p>
    <w:p w14:paraId="7B7CC4AA" w14:textId="77777777" w:rsidR="00513779" w:rsidRDefault="00513779" w:rsidP="00513779">
      <w:pPr>
        <w:rPr>
          <w:sz w:val="20"/>
        </w:rPr>
      </w:pPr>
    </w:p>
    <w:p w14:paraId="72080607" w14:textId="77777777" w:rsidR="00513779" w:rsidRDefault="00513779" w:rsidP="00513779">
      <w:pPr>
        <w:rPr>
          <w:sz w:val="20"/>
        </w:rPr>
      </w:pPr>
    </w:p>
    <w:p w14:paraId="38DC2371" w14:textId="77777777" w:rsidR="00513779" w:rsidRDefault="00513779" w:rsidP="00513779">
      <w:pPr>
        <w:rPr>
          <w:sz w:val="20"/>
        </w:rPr>
      </w:pPr>
    </w:p>
    <w:p w14:paraId="70488B47" w14:textId="77777777" w:rsidR="00513779" w:rsidRDefault="00513779" w:rsidP="00513779">
      <w:pPr>
        <w:rPr>
          <w:sz w:val="20"/>
        </w:rPr>
      </w:pPr>
    </w:p>
    <w:p w14:paraId="2A140BD8" w14:textId="77777777" w:rsidR="00513779" w:rsidRPr="00481007" w:rsidRDefault="00513779" w:rsidP="00513779">
      <w:pPr>
        <w:rPr>
          <w:b/>
          <w:sz w:val="20"/>
        </w:rPr>
      </w:pPr>
      <w:r>
        <w:rPr>
          <w:sz w:val="20"/>
        </w:rPr>
        <w:lastRenderedPageBreak/>
        <w:t xml:space="preserve">         </w:t>
      </w:r>
      <w:r w:rsidRPr="00481007">
        <w:rPr>
          <w:b/>
          <w:sz w:val="20"/>
        </w:rPr>
        <w:t>According to the German regulatory rules:</w:t>
      </w:r>
      <w:r w:rsidRPr="00481007">
        <w:rPr>
          <w:b/>
          <w:sz w:val="20"/>
        </w:rPr>
        <w:tab/>
      </w:r>
      <w:r w:rsidRPr="00481007">
        <w:rPr>
          <w:b/>
          <w:sz w:val="20"/>
        </w:rPr>
        <w:tab/>
      </w:r>
      <w:r w:rsidRPr="00481007">
        <w:rPr>
          <w:b/>
          <w:sz w:val="20"/>
        </w:rPr>
        <w:tab/>
      </w:r>
      <w:r w:rsidRPr="00481007">
        <w:rPr>
          <w:b/>
          <w:sz w:val="20"/>
        </w:rPr>
        <w:tab/>
      </w:r>
      <w:r w:rsidRPr="00481007">
        <w:rPr>
          <w:b/>
          <w:sz w:val="20"/>
        </w:rPr>
        <w:tab/>
      </w:r>
      <w:r w:rsidRPr="00481007">
        <w:rPr>
          <w:b/>
          <w:sz w:val="20"/>
        </w:rPr>
        <w:tab/>
      </w:r>
      <w:r w:rsidRPr="00481007">
        <w:rPr>
          <w:b/>
          <w:sz w:val="20"/>
        </w:rPr>
        <w:tab/>
      </w:r>
      <w:r w:rsidRPr="00481007">
        <w:rPr>
          <w:b/>
          <w:sz w:val="20"/>
        </w:rPr>
        <w:tab/>
      </w:r>
      <w:r w:rsidRPr="00481007">
        <w:rPr>
          <w:b/>
          <w:sz w:val="20"/>
        </w:rPr>
        <w:tab/>
      </w:r>
      <w:r w:rsidRPr="00481007">
        <w:rPr>
          <w:b/>
          <w:sz w:val="20"/>
        </w:rPr>
        <w:tab/>
      </w:r>
      <w:r w:rsidRPr="00481007">
        <w:rPr>
          <w:b/>
          <w:sz w:val="20"/>
        </w:rPr>
        <w:tab/>
      </w:r>
      <w:r w:rsidRPr="00481007">
        <w:rPr>
          <w:b/>
          <w:sz w:val="20"/>
        </w:rPr>
        <w:tab/>
      </w:r>
      <w:r w:rsidRPr="00481007">
        <w:rPr>
          <w:b/>
          <w:sz w:val="20"/>
        </w:rPr>
        <w:tab/>
      </w:r>
      <w:r w:rsidRPr="00481007">
        <w:rPr>
          <w:b/>
          <w:sz w:val="20"/>
        </w:rPr>
        <w:tab/>
      </w:r>
      <w:r w:rsidRPr="00481007">
        <w:rPr>
          <w:b/>
          <w:sz w:val="20"/>
        </w:rPr>
        <w:tab/>
      </w:r>
      <w:r w:rsidRPr="00481007">
        <w:rPr>
          <w:b/>
          <w:sz w:val="20"/>
        </w:rPr>
        <w:tab/>
      </w:r>
      <w:r w:rsidRPr="00481007">
        <w:rPr>
          <w:b/>
          <w:sz w:val="20"/>
        </w:rPr>
        <w:tab/>
      </w:r>
    </w:p>
    <w:p w14:paraId="5E172A6B" w14:textId="77777777" w:rsidR="00513779" w:rsidRPr="00065EC7" w:rsidRDefault="00513779" w:rsidP="00513779">
      <w:pPr>
        <w:ind w:left="720"/>
        <w:rPr>
          <w:sz w:val="20"/>
        </w:rPr>
      </w:pPr>
      <w:r w:rsidRPr="00065EC7">
        <w:rPr>
          <w:sz w:val="20"/>
        </w:rPr>
        <w:t>A range is defined as a multiple of 10 or 100 or 1000 or 10000 numbers, the multiplier by definition smaller or equal to 10.</w:t>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p>
    <w:p w14:paraId="39C3399E" w14:textId="77777777" w:rsidR="00513779" w:rsidRPr="00065EC7" w:rsidRDefault="00513779" w:rsidP="00513779">
      <w:pPr>
        <w:ind w:left="720"/>
        <w:rPr>
          <w:sz w:val="20"/>
        </w:rPr>
      </w:pPr>
      <w:r w:rsidRPr="00065EC7">
        <w:rPr>
          <w:sz w:val="20"/>
        </w:rPr>
        <w:t>This means 10, 20, 300, 500, 3000 is fine, 1200 is wrong.</w:t>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p>
    <w:p w14:paraId="118627B6" w14:textId="77777777" w:rsidR="00513779" w:rsidRPr="00065EC7" w:rsidRDefault="00513779" w:rsidP="00513779">
      <w:pPr>
        <w:ind w:left="720"/>
        <w:rPr>
          <w:sz w:val="20"/>
        </w:rPr>
      </w:pPr>
      <w:r w:rsidRPr="00065EC7">
        <w:rPr>
          <w:sz w:val="20"/>
        </w:rPr>
        <w:t xml:space="preserve">The last digit of the </w:t>
      </w:r>
      <w:r w:rsidRPr="00065EC7">
        <w:rPr>
          <w:b/>
          <w:sz w:val="20"/>
        </w:rPr>
        <w:t>range start must be ‘0’</w:t>
      </w:r>
      <w:r w:rsidRPr="00065EC7">
        <w:rPr>
          <w:sz w:val="20"/>
        </w:rPr>
        <w:t xml:space="preserve">, the last digit of the </w:t>
      </w:r>
      <w:r w:rsidRPr="00065EC7">
        <w:rPr>
          <w:b/>
          <w:sz w:val="20"/>
        </w:rPr>
        <w:t>range end must be ‘9’</w:t>
      </w:r>
      <w:r w:rsidRPr="00065EC7">
        <w:rPr>
          <w:sz w:val="20"/>
        </w:rPr>
        <w:t>.</w:t>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p>
    <w:p w14:paraId="62AE2544" w14:textId="77777777" w:rsidR="00513779" w:rsidRPr="00065EC7" w:rsidRDefault="00513779" w:rsidP="00513779">
      <w:pPr>
        <w:ind w:left="720"/>
        <w:rPr>
          <w:sz w:val="20"/>
        </w:rPr>
      </w:pPr>
      <w:r w:rsidRPr="00065EC7">
        <w:rPr>
          <w:b/>
          <w:sz w:val="20"/>
          <w:u w:val="single"/>
        </w:rPr>
        <w:t>We are not allowed to port a part of a number range or to split a range in more ranges</w:t>
      </w:r>
      <w:r w:rsidRPr="00065EC7">
        <w:rPr>
          <w:sz w:val="20"/>
        </w:rPr>
        <w:t>; according the regulatory rules in Germany we are only allowed to port full number range as they were originally assigned</w:t>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p>
    <w:p w14:paraId="4DD88BBA" w14:textId="77777777" w:rsidR="00513779" w:rsidRPr="00065EC7" w:rsidRDefault="00513779" w:rsidP="00513779">
      <w:pPr>
        <w:ind w:left="720"/>
        <w:rPr>
          <w:sz w:val="20"/>
        </w:rPr>
      </w:pPr>
      <w:r w:rsidRPr="00065EC7">
        <w:rPr>
          <w:b/>
          <w:sz w:val="20"/>
        </w:rPr>
        <w:t>A number is formed of maximum 11 digits</w:t>
      </w:r>
      <w:r w:rsidRPr="00065EC7">
        <w:rPr>
          <w:sz w:val="20"/>
        </w:rPr>
        <w:t xml:space="preserve"> including the digits of the range and without counting the leading Zero of the local area code.</w:t>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p>
    <w:p w14:paraId="0775393D" w14:textId="77777777" w:rsidR="00513779" w:rsidRPr="00481007" w:rsidRDefault="00513779" w:rsidP="00513779">
      <w:pPr>
        <w:ind w:left="720"/>
        <w:rPr>
          <w:b/>
          <w:sz w:val="20"/>
        </w:rPr>
      </w:pPr>
      <w:r w:rsidRPr="00065EC7">
        <w:rPr>
          <w:sz w:val="20"/>
        </w:rPr>
        <w:t>There are some exceptions for single numbers that can’t be ported because they are too long, technically not portable.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481007">
        <w:rPr>
          <w:b/>
          <w:sz w:val="20"/>
        </w:rPr>
        <w:tab/>
      </w:r>
    </w:p>
    <w:p w14:paraId="37218465" w14:textId="77777777" w:rsidR="00513779" w:rsidRPr="00481007" w:rsidRDefault="00513779" w:rsidP="00513779">
      <w:pPr>
        <w:ind w:left="720"/>
        <w:rPr>
          <w:sz w:val="20"/>
        </w:rPr>
      </w:pPr>
      <w:r w:rsidRPr="00481007">
        <w:rPr>
          <w:b/>
          <w:sz w:val="20"/>
        </w:rPr>
        <w:tab/>
      </w:r>
      <w:r w:rsidRPr="00481007">
        <w:rPr>
          <w:b/>
          <w:sz w:val="20"/>
        </w:rPr>
        <w:tab/>
      </w:r>
      <w:r w:rsidRPr="00481007">
        <w:rPr>
          <w:sz w:val="20"/>
        </w:rPr>
        <w:tab/>
      </w:r>
      <w:r w:rsidRPr="00481007">
        <w:rPr>
          <w:sz w:val="20"/>
        </w:rPr>
        <w:tab/>
      </w:r>
      <w:r w:rsidRPr="00481007">
        <w:rPr>
          <w:sz w:val="20"/>
        </w:rPr>
        <w:tab/>
      </w:r>
      <w:r w:rsidRPr="00481007">
        <w:rPr>
          <w:sz w:val="20"/>
        </w:rPr>
        <w:tab/>
      </w:r>
      <w:r w:rsidRPr="00481007">
        <w:rPr>
          <w:sz w:val="20"/>
        </w:rPr>
        <w:tab/>
      </w:r>
      <w:r w:rsidRPr="00481007">
        <w:rPr>
          <w:sz w:val="20"/>
        </w:rPr>
        <w:tab/>
      </w:r>
      <w:r w:rsidRPr="00481007">
        <w:rPr>
          <w:sz w:val="20"/>
        </w:rPr>
        <w:tab/>
      </w:r>
      <w:r w:rsidRPr="00481007">
        <w:rPr>
          <w:sz w:val="20"/>
        </w:rPr>
        <w:tab/>
      </w:r>
      <w:r w:rsidRPr="00481007">
        <w:rPr>
          <w:sz w:val="20"/>
        </w:rPr>
        <w:tab/>
      </w:r>
    </w:p>
    <w:p w14:paraId="1BE0E91D" w14:textId="77777777" w:rsidR="00513779" w:rsidRPr="00065EC7" w:rsidRDefault="00513779" w:rsidP="00513779">
      <w:pPr>
        <w:ind w:left="720"/>
        <w:rPr>
          <w:i/>
          <w:sz w:val="20"/>
        </w:rPr>
      </w:pPr>
      <w:r w:rsidRPr="00065EC7">
        <w:rPr>
          <w:i/>
          <w:sz w:val="20"/>
          <w:u w:val="single"/>
        </w:rPr>
        <w:t>Exception for single numbers</w:t>
      </w:r>
      <w:r>
        <w:rPr>
          <w:i/>
          <w:sz w:val="20"/>
          <w:u w:val="single"/>
        </w:rPr>
        <w:t xml:space="preserve"> in Berlin, Frankfurt, </w:t>
      </w:r>
      <w:proofErr w:type="spellStart"/>
      <w:r w:rsidRPr="00065EC7">
        <w:rPr>
          <w:i/>
          <w:sz w:val="20"/>
          <w:u w:val="single"/>
        </w:rPr>
        <w:t>Munchen</w:t>
      </w:r>
      <w:proofErr w:type="spellEnd"/>
      <w:r w:rsidRPr="00065EC7">
        <w:rPr>
          <w:i/>
          <w:sz w:val="20"/>
          <w:u w:val="single"/>
        </w:rPr>
        <w:t>, Hamburg:</w:t>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p>
    <w:p w14:paraId="1E5BCFE2" w14:textId="77777777" w:rsidR="00513779" w:rsidRPr="00065EC7" w:rsidRDefault="00513779" w:rsidP="00513779">
      <w:pPr>
        <w:ind w:left="720"/>
        <w:rPr>
          <w:i/>
          <w:sz w:val="20"/>
        </w:rPr>
      </w:pPr>
      <w:r w:rsidRPr="00065EC7">
        <w:rPr>
          <w:i/>
          <w:sz w:val="20"/>
        </w:rPr>
        <w:t>            If we have a local area code of 3 digits (030) the complete number, without counting the leading 0 should be formed of:</w:t>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p>
    <w:p w14:paraId="4342DC7B" w14:textId="77777777" w:rsidR="00513779" w:rsidRPr="00065EC7" w:rsidRDefault="00513779" w:rsidP="00513779">
      <w:pPr>
        <w:ind w:left="720"/>
        <w:rPr>
          <w:i/>
          <w:sz w:val="20"/>
        </w:rPr>
      </w:pP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p>
    <w:p w14:paraId="77112A2E" w14:textId="77777777" w:rsidR="00513779" w:rsidRPr="00065EC7" w:rsidRDefault="00513779" w:rsidP="00513779">
      <w:pPr>
        <w:ind w:left="720"/>
        <w:rPr>
          <w:i/>
          <w:sz w:val="20"/>
        </w:rPr>
      </w:pPr>
      <w:r w:rsidRPr="00065EC7">
        <w:rPr>
          <w:i/>
          <w:sz w:val="20"/>
        </w:rPr>
        <w:t xml:space="preserve">·         max. 10 digits for single numbers (with a local area code of 3 digits 030, </w:t>
      </w:r>
      <w:r>
        <w:rPr>
          <w:i/>
          <w:sz w:val="20"/>
        </w:rPr>
        <w:t xml:space="preserve">069, </w:t>
      </w:r>
      <w:r w:rsidRPr="00065EC7">
        <w:rPr>
          <w:i/>
          <w:sz w:val="20"/>
        </w:rPr>
        <w:t>089, 040…) ex 030 12345678 (030 123456789 would be too long, 11 digits)</w:t>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p>
    <w:p w14:paraId="688C1C32" w14:textId="77777777" w:rsidR="00513779" w:rsidRPr="00065EC7" w:rsidRDefault="00513779" w:rsidP="00513779">
      <w:pPr>
        <w:ind w:left="720"/>
        <w:rPr>
          <w:i/>
          <w:sz w:val="20"/>
        </w:rPr>
      </w:pP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r w:rsidRPr="00065EC7">
        <w:rPr>
          <w:i/>
          <w:sz w:val="20"/>
        </w:rPr>
        <w:tab/>
      </w:r>
    </w:p>
    <w:p w14:paraId="6222A32C" w14:textId="77777777" w:rsidR="00513779" w:rsidRDefault="00513779" w:rsidP="00513779">
      <w:pPr>
        <w:ind w:left="720"/>
        <w:rPr>
          <w:sz w:val="20"/>
        </w:rPr>
      </w:pPr>
      <w:r w:rsidRPr="00065EC7">
        <w:rPr>
          <w:i/>
          <w:sz w:val="20"/>
        </w:rPr>
        <w:t>·         max. 11 digits for numbers with number ranges (030 123456780 – 123456789 would be ok 11 - digits)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065EC7">
        <w:rPr>
          <w:sz w:val="20"/>
        </w:rPr>
        <w:tab/>
      </w:r>
      <w:r w:rsidRPr="00065EC7">
        <w:rPr>
          <w:sz w:val="20"/>
        </w:rPr>
        <w:tab/>
      </w:r>
      <w:r w:rsidRPr="00065EC7">
        <w:rPr>
          <w:sz w:val="20"/>
        </w:rPr>
        <w:tab/>
      </w:r>
      <w:r w:rsidRPr="00065EC7">
        <w:rPr>
          <w:sz w:val="20"/>
        </w:rPr>
        <w:tab/>
      </w:r>
      <w:r w:rsidRPr="00065EC7">
        <w:rPr>
          <w:sz w:val="20"/>
        </w:rPr>
        <w:tab/>
      </w:r>
      <w:r w:rsidRPr="00065EC7">
        <w:rPr>
          <w:sz w:val="20"/>
        </w:rPr>
        <w:tab/>
      </w:r>
    </w:p>
    <w:p w14:paraId="65DAB63C" w14:textId="77777777" w:rsidR="00513779" w:rsidRPr="004D2B51" w:rsidRDefault="00513779" w:rsidP="00513779">
      <w:pPr>
        <w:ind w:left="720"/>
        <w:rPr>
          <w:sz w:val="20"/>
        </w:rPr>
      </w:pPr>
    </w:p>
    <w:p w14:paraId="128E012E" w14:textId="77777777" w:rsidR="00513779" w:rsidRDefault="00513779" w:rsidP="00513779">
      <w:r>
        <w:rPr>
          <w:b/>
        </w:rPr>
        <w:t xml:space="preserve">   </w:t>
      </w:r>
      <w:r w:rsidRPr="003C6C84">
        <w:rPr>
          <w:b/>
        </w:rPr>
        <w:t>Note</w:t>
      </w:r>
      <w:r>
        <w:t>: Please keep a copy of latest invoice handy while filling out the LOA with following inputs required.</w:t>
      </w:r>
    </w:p>
    <w:p w14:paraId="6CCFEBF8" w14:textId="77777777" w:rsidR="00513779" w:rsidRPr="00F86629" w:rsidRDefault="00513779" w:rsidP="00513779">
      <w:pPr>
        <w:rPr>
          <w:rFonts w:eastAsia="Arial"/>
          <w:b/>
          <w:bCs/>
          <w:color w:val="FF0000"/>
          <w:spacing w:val="1"/>
          <w:w w:val="101"/>
          <w:position w:val="-1"/>
          <w:sz w:val="18"/>
          <w:szCs w:val="18"/>
          <w:lang w:val="en-US"/>
        </w:rPr>
      </w:pPr>
      <w:r w:rsidRPr="00F86629">
        <w:rPr>
          <w:rFonts w:eastAsia="Arial"/>
          <w:b/>
          <w:bCs/>
          <w:color w:val="FF0000"/>
          <w:spacing w:val="1"/>
          <w:w w:val="101"/>
          <w:position w:val="-1"/>
          <w:sz w:val="18"/>
          <w:szCs w:val="18"/>
          <w:lang w:val="en-US"/>
        </w:rPr>
        <w:t xml:space="preserve">FOR INTERNAL SYSTEM RECORDS The switchboard number (Switchboard nr.  / </w:t>
      </w:r>
      <w:proofErr w:type="spellStart"/>
      <w:r w:rsidRPr="00F86629">
        <w:rPr>
          <w:rFonts w:eastAsia="Arial"/>
          <w:b/>
          <w:bCs/>
          <w:color w:val="FF0000"/>
          <w:spacing w:val="1"/>
          <w:w w:val="101"/>
          <w:position w:val="-1"/>
          <w:sz w:val="18"/>
          <w:szCs w:val="18"/>
          <w:lang w:val="en-US"/>
        </w:rPr>
        <w:t>Abfragestelle</w:t>
      </w:r>
      <w:proofErr w:type="spellEnd"/>
      <w:r w:rsidRPr="00F86629">
        <w:rPr>
          <w:rFonts w:eastAsia="Arial"/>
          <w:b/>
          <w:bCs/>
          <w:color w:val="FF0000"/>
          <w:spacing w:val="1"/>
          <w:w w:val="101"/>
          <w:position w:val="-1"/>
          <w:sz w:val="18"/>
          <w:szCs w:val="18"/>
          <w:lang w:val="en-US"/>
        </w:rPr>
        <w:t>) is the same with the first digit of the range start (</w:t>
      </w:r>
      <w:proofErr w:type="spellStart"/>
      <w:r w:rsidRPr="00F86629">
        <w:rPr>
          <w:rFonts w:eastAsia="Arial"/>
          <w:b/>
          <w:bCs/>
          <w:color w:val="FF0000"/>
          <w:spacing w:val="1"/>
          <w:w w:val="101"/>
          <w:position w:val="-1"/>
          <w:sz w:val="18"/>
          <w:szCs w:val="18"/>
          <w:lang w:val="en-US"/>
        </w:rPr>
        <w:t>Runummernblock</w:t>
      </w:r>
      <w:proofErr w:type="spellEnd"/>
      <w:r w:rsidRPr="00F86629">
        <w:rPr>
          <w:rFonts w:eastAsia="Arial"/>
          <w:b/>
          <w:bCs/>
          <w:color w:val="FF0000"/>
          <w:spacing w:val="1"/>
          <w:w w:val="101"/>
          <w:position w:val="-1"/>
          <w:sz w:val="18"/>
          <w:szCs w:val="18"/>
          <w:lang w:val="en-US"/>
        </w:rPr>
        <w:t xml:space="preserve"> von) and should not be configured within the Colt system, because it is already part of the range</w:t>
      </w:r>
    </w:p>
    <w:p w14:paraId="7F9C7403" w14:textId="77777777" w:rsidR="00513779" w:rsidRDefault="00513779" w:rsidP="00513779"/>
    <w:p w14:paraId="301B9F16" w14:textId="77777777" w:rsidR="00513779" w:rsidRDefault="00513779" w:rsidP="00513779"/>
    <w:p w14:paraId="2EB2DC8B" w14:textId="77777777" w:rsidR="00513779" w:rsidRPr="003C6C84" w:rsidRDefault="00513779" w:rsidP="00513779">
      <w:pPr>
        <w:rPr>
          <w:b/>
          <w:sz w:val="20"/>
        </w:rPr>
      </w:pPr>
    </w:p>
    <w:p w14:paraId="1EC39A43" w14:textId="77777777" w:rsidR="00513779" w:rsidRPr="003C6C84" w:rsidRDefault="00513779" w:rsidP="00513779">
      <w:pPr>
        <w:ind w:left="720"/>
        <w:rPr>
          <w:sz w:val="20"/>
        </w:rPr>
      </w:pPr>
    </w:p>
    <w:p w14:paraId="4E091861" w14:textId="77777777" w:rsidR="00E100E3" w:rsidRDefault="00E100E3"/>
    <w:sectPr w:rsidR="00E100E3" w:rsidSect="00905A1B">
      <w:headerReference w:type="default" r:id="rId8"/>
      <w:footerReference w:type="default" r:id="rId9"/>
      <w:headerReference w:type="first" r:id="rId10"/>
      <w:footerReference w:type="first" r:id="rId11"/>
      <w:pgSz w:w="11906" w:h="16838" w:code="9"/>
      <w:pgMar w:top="720" w:right="720" w:bottom="720" w:left="720" w:header="28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2D0C" w14:textId="77777777" w:rsidR="009C1317" w:rsidRPr="00E91113" w:rsidRDefault="00513779" w:rsidP="005F3824">
    <w:pPr>
      <w:pStyle w:val="Footer"/>
      <w:pBdr>
        <w:top w:val="single" w:sz="4" w:space="1" w:color="969696"/>
      </w:pBdr>
      <w:tabs>
        <w:tab w:val="clear" w:pos="10206"/>
        <w:tab w:val="center" w:pos="4820"/>
        <w:tab w:val="right" w:pos="9639"/>
      </w:tabs>
      <w:spacing w:line="320" w:lineRule="atLeast"/>
      <w:rPr>
        <w:sz w:val="20"/>
        <w:szCs w:val="20"/>
      </w:rPr>
    </w:pPr>
    <w:r>
      <w:rPr>
        <w:sz w:val="20"/>
        <w:szCs w:val="20"/>
      </w:rPr>
      <w:t>Version: 1.0</w:t>
    </w:r>
    <w:r w:rsidRPr="00E91113">
      <w:rPr>
        <w:sz w:val="20"/>
        <w:szCs w:val="20"/>
      </w:rPr>
      <w:tab/>
    </w:r>
    <w:r w:rsidRPr="00E91113">
      <w:rPr>
        <w:sz w:val="20"/>
        <w:szCs w:val="20"/>
      </w:rPr>
      <w:fldChar w:fldCharType="begin"/>
    </w:r>
    <w:r w:rsidRPr="00E91113">
      <w:rPr>
        <w:sz w:val="20"/>
        <w:szCs w:val="20"/>
      </w:rPr>
      <w:instrText xml:space="preserve"> PAGE  \* Arabic  \* MERGEFORMAT </w:instrText>
    </w:r>
    <w:r w:rsidRPr="00E91113">
      <w:rPr>
        <w:sz w:val="20"/>
        <w:szCs w:val="20"/>
      </w:rPr>
      <w:fldChar w:fldCharType="separate"/>
    </w:r>
    <w:r>
      <w:rPr>
        <w:noProof/>
        <w:sz w:val="20"/>
        <w:szCs w:val="20"/>
      </w:rPr>
      <w:t>7</w:t>
    </w:r>
    <w:r w:rsidRPr="00E91113">
      <w:rPr>
        <w:sz w:val="20"/>
        <w:szCs w:val="20"/>
      </w:rPr>
      <w:fldChar w:fldCharType="end"/>
    </w:r>
    <w:r w:rsidRPr="00E91113">
      <w:rPr>
        <w:sz w:val="20"/>
        <w:szCs w:val="20"/>
      </w:rPr>
      <w:t xml:space="preserve"> / </w:t>
    </w:r>
    <w:r w:rsidRPr="00E91113">
      <w:rPr>
        <w:sz w:val="20"/>
        <w:szCs w:val="20"/>
      </w:rPr>
      <w:fldChar w:fldCharType="begin"/>
    </w:r>
    <w:r w:rsidRPr="00E91113">
      <w:rPr>
        <w:sz w:val="20"/>
        <w:szCs w:val="20"/>
      </w:rPr>
      <w:instrText xml:space="preserve"> NUMPAGES  \* Arab</w:instrText>
    </w:r>
    <w:r w:rsidRPr="00E91113">
      <w:rPr>
        <w:sz w:val="20"/>
        <w:szCs w:val="20"/>
      </w:rPr>
      <w:instrText xml:space="preserve">ic  \* MERGEFORMAT </w:instrText>
    </w:r>
    <w:r w:rsidRPr="00E91113">
      <w:rPr>
        <w:sz w:val="20"/>
        <w:szCs w:val="20"/>
      </w:rPr>
      <w:fldChar w:fldCharType="separate"/>
    </w:r>
    <w:r>
      <w:rPr>
        <w:noProof/>
        <w:sz w:val="20"/>
        <w:szCs w:val="20"/>
      </w:rPr>
      <w:t>7</w:t>
    </w:r>
    <w:r w:rsidRPr="00E9111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119B4" w14:textId="77777777" w:rsidR="009C1317" w:rsidRPr="00E91113" w:rsidRDefault="00513779" w:rsidP="005F3824">
    <w:pPr>
      <w:pStyle w:val="Footer"/>
      <w:pBdr>
        <w:top w:val="single" w:sz="4" w:space="1" w:color="969696"/>
      </w:pBdr>
      <w:tabs>
        <w:tab w:val="clear" w:pos="10206"/>
        <w:tab w:val="center" w:pos="4820"/>
        <w:tab w:val="right" w:pos="9639"/>
      </w:tabs>
      <w:spacing w:line="320" w:lineRule="atLeast"/>
      <w:rPr>
        <w:sz w:val="20"/>
        <w:szCs w:val="20"/>
      </w:rPr>
    </w:pPr>
    <w:r w:rsidRPr="00E91113">
      <w:rPr>
        <w:sz w:val="20"/>
        <w:szCs w:val="20"/>
      </w:rPr>
      <w:tab/>
    </w:r>
    <w:r w:rsidRPr="00E91113">
      <w:rPr>
        <w:sz w:val="20"/>
        <w:szCs w:val="20"/>
      </w:rPr>
      <w:fldChar w:fldCharType="begin"/>
    </w:r>
    <w:r w:rsidRPr="00E91113">
      <w:rPr>
        <w:sz w:val="20"/>
        <w:szCs w:val="20"/>
      </w:rPr>
      <w:instrText xml:space="preserve"> PAGE  \* Arabic  \* MERGEFORMAT </w:instrText>
    </w:r>
    <w:r w:rsidRPr="00E91113">
      <w:rPr>
        <w:sz w:val="20"/>
        <w:szCs w:val="20"/>
      </w:rPr>
      <w:fldChar w:fldCharType="separate"/>
    </w:r>
    <w:r>
      <w:rPr>
        <w:noProof/>
        <w:sz w:val="20"/>
        <w:szCs w:val="20"/>
      </w:rPr>
      <w:t>1</w:t>
    </w:r>
    <w:r w:rsidRPr="00E91113">
      <w:rPr>
        <w:sz w:val="20"/>
        <w:szCs w:val="20"/>
      </w:rPr>
      <w:fldChar w:fldCharType="end"/>
    </w:r>
    <w:r w:rsidRPr="00E91113">
      <w:rPr>
        <w:sz w:val="20"/>
        <w:szCs w:val="20"/>
      </w:rPr>
      <w:t xml:space="preserve"> / </w:t>
    </w:r>
    <w:r w:rsidRPr="00E91113">
      <w:rPr>
        <w:sz w:val="20"/>
        <w:szCs w:val="20"/>
      </w:rPr>
      <w:fldChar w:fldCharType="begin"/>
    </w:r>
    <w:r w:rsidRPr="00E91113">
      <w:rPr>
        <w:sz w:val="20"/>
        <w:szCs w:val="20"/>
      </w:rPr>
      <w:instrText xml:space="preserve"> NUMPAGES  \* Arabic  \* MERGEFORMAT </w:instrText>
    </w:r>
    <w:r w:rsidRPr="00E91113">
      <w:rPr>
        <w:sz w:val="20"/>
        <w:szCs w:val="20"/>
      </w:rPr>
      <w:fldChar w:fldCharType="separate"/>
    </w:r>
    <w:r>
      <w:rPr>
        <w:noProof/>
        <w:sz w:val="20"/>
        <w:szCs w:val="20"/>
      </w:rPr>
      <w:t>7</w:t>
    </w:r>
    <w:r w:rsidRPr="00E91113">
      <w:rPr>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6744" w14:textId="77777777" w:rsidR="009C1317" w:rsidRDefault="00513779">
    <w:pPr>
      <w:pStyle w:val="Header"/>
    </w:pPr>
  </w:p>
  <w:p w14:paraId="3FB268E1" w14:textId="77777777" w:rsidR="009C1317" w:rsidRPr="00ED6755" w:rsidRDefault="00513779" w:rsidP="008108B0">
    <w:pPr>
      <w:pStyle w:val="Header"/>
      <w:rPr>
        <w:b/>
        <w:color w:val="969696"/>
        <w:sz w:val="48"/>
        <w:szCs w:val="48"/>
      </w:rPr>
    </w:pPr>
    <w:r>
      <w:rPr>
        <w:b/>
        <w:color w:val="969696"/>
        <w:sz w:val="48"/>
        <w:szCs w:val="48"/>
      </w:rPr>
      <w:t>Porting S</w:t>
    </w:r>
    <w:r w:rsidRPr="00ED6755">
      <w:rPr>
        <w:b/>
        <w:color w:val="969696"/>
        <w:sz w:val="48"/>
        <w:szCs w:val="48"/>
      </w:rPr>
      <w:t xml:space="preserve">ervices </w:t>
    </w:r>
    <w:r>
      <w:rPr>
        <w:b/>
        <w:color w:val="969696"/>
        <w:sz w:val="48"/>
        <w:szCs w:val="48"/>
      </w:rPr>
      <w:t>DE</w:t>
    </w:r>
    <w:r>
      <w:rPr>
        <w:b/>
        <w:color w:val="969696"/>
        <w:sz w:val="48"/>
        <w:szCs w:val="48"/>
      </w:rPr>
      <w:tab/>
    </w:r>
  </w:p>
  <w:p w14:paraId="3A6E5D06" w14:textId="2C099BF4" w:rsidR="009C1317" w:rsidRPr="008108B0" w:rsidRDefault="00513779" w:rsidP="00E35D2A">
    <w:pPr>
      <w:pStyle w:val="Header"/>
      <w:rPr>
        <w:sz w:val="24"/>
        <w:szCs w:val="24"/>
        <w:lang w:val="pt-PT"/>
      </w:rPr>
    </w:pPr>
    <w:r w:rsidRPr="008108B0">
      <w:rPr>
        <w:b/>
        <w:color w:val="969696"/>
        <w:sz w:val="48"/>
        <w:szCs w:val="48"/>
        <w:lang w:val="pt-PT"/>
      </w:rPr>
      <w:t xml:space="preserve"> </w:t>
    </w:r>
    <w:r>
      <w:rPr>
        <w:noProof/>
      </w:rPr>
      <mc:AlternateContent>
        <mc:Choice Requires="wps">
          <w:drawing>
            <wp:inline distT="0" distB="0" distL="0" distR="0" wp14:anchorId="5101C70B" wp14:editId="19AD6508">
              <wp:extent cx="6458585" cy="635"/>
              <wp:effectExtent l="0" t="0" r="37465" b="37465"/>
              <wp:docPr id="7" name="Straight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Arrowheads="1"/>
                    </wps:cNvCnPr>
                    <wps:spPr>
                      <a:xfrm>
                        <a:off x="0" y="0"/>
                        <a:ext cx="6458585" cy="635"/>
                      </a:xfrm>
                      <a:prstGeom prst="line">
                        <a:avLst/>
                      </a:prstGeom>
                      <a:noFill/>
                      <a:ln w="3175" cap="flat" cmpd="sng" algn="ctr">
                        <a:solidFill>
                          <a:srgbClr val="969696"/>
                        </a:solidFill>
                        <a:prstDash val="solid"/>
                      </a:ln>
                      <a:effectLst/>
                    </wps:spPr>
                    <wps:bodyPr/>
                  </wps:wsp>
                </a:graphicData>
              </a:graphic>
            </wp:inline>
          </w:drawing>
        </mc:Choice>
        <mc:Fallback>
          <w:pict>
            <v:line w14:anchorId="5D5222AF"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50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" strokecolor="#969696" strokeweight=".25pt">
              <v:path arrowok="f"/>
              <o:lock v:ext="edit" aspectratio="t" shapetype="f"/>
              <w10:anchorlock/>
            </v:line>
          </w:pict>
        </mc:Fallback>
      </mc:AlternateContent>
    </w:r>
    <w:r>
      <w:rPr>
        <w:noProof/>
      </w:rPr>
      <w:drawing>
        <wp:anchor distT="0" distB="0" distL="114300" distR="114300" simplePos="0" relativeHeight="251659264" behindDoc="0" locked="1" layoutInCell="1" allowOverlap="1" wp14:anchorId="4C3DCE82" wp14:editId="44409FE3">
          <wp:simplePos x="0" y="0"/>
          <wp:positionH relativeFrom="page">
            <wp:posOffset>6381115</wp:posOffset>
          </wp:positionH>
          <wp:positionV relativeFrom="page">
            <wp:posOffset>674370</wp:posOffset>
          </wp:positionV>
          <wp:extent cx="774065" cy="302260"/>
          <wp:effectExtent l="0" t="0" r="698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302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CAF80" w14:textId="77777777" w:rsidR="009C1317" w:rsidRDefault="00513779" w:rsidP="008108B0">
    <w:pPr>
      <w:pStyle w:val="Header"/>
    </w:pPr>
  </w:p>
  <w:p w14:paraId="784598B7" w14:textId="77777777" w:rsidR="009C1317" w:rsidRPr="008108B0" w:rsidRDefault="00513779" w:rsidP="008108B0">
    <w:pPr>
      <w:pStyle w:val="Header"/>
      <w:rPr>
        <w:b/>
        <w:color w:val="969696"/>
        <w:sz w:val="48"/>
        <w:szCs w:val="48"/>
      </w:rPr>
    </w:pPr>
    <w:r>
      <w:rPr>
        <w:b/>
        <w:color w:val="969696"/>
        <w:sz w:val="48"/>
        <w:szCs w:val="48"/>
      </w:rPr>
      <w:t>Porting Process</w:t>
    </w:r>
    <w:r>
      <w:rPr>
        <w:b/>
        <w:color w:val="969696"/>
        <w:sz w:val="48"/>
        <w:szCs w:val="48"/>
      </w:rPr>
      <w:t xml:space="preserve"> DE</w:t>
    </w:r>
  </w:p>
  <w:p w14:paraId="21008ECE" w14:textId="0FE5F2DF" w:rsidR="009C1317" w:rsidRPr="008108B0" w:rsidRDefault="00513779" w:rsidP="008108B0">
    <w:pPr>
      <w:pStyle w:val="Header"/>
      <w:rPr>
        <w:sz w:val="24"/>
        <w:szCs w:val="24"/>
        <w:lang w:val="pt-PT"/>
      </w:rPr>
    </w:pPr>
    <w:r w:rsidRPr="008108B0">
      <w:rPr>
        <w:b/>
        <w:color w:val="969696"/>
        <w:sz w:val="48"/>
        <w:szCs w:val="48"/>
        <w:lang w:val="pt-PT"/>
      </w:rPr>
      <w:t xml:space="preserve"> </w:t>
    </w:r>
    <w:r>
      <w:rPr>
        <w:noProof/>
      </w:rPr>
      <mc:AlternateContent>
        <mc:Choice Requires="wps">
          <w:drawing>
            <wp:inline distT="0" distB="0" distL="0" distR="0" wp14:anchorId="7A281F13" wp14:editId="6EA375AA">
              <wp:extent cx="6458585" cy="635"/>
              <wp:effectExtent l="0" t="0" r="37465" b="37465"/>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Arrowheads="1"/>
                    </wps:cNvCnPr>
                    <wps:spPr>
                      <a:xfrm>
                        <a:off x="0" y="0"/>
                        <a:ext cx="6458585" cy="635"/>
                      </a:xfrm>
                      <a:prstGeom prst="line">
                        <a:avLst/>
                      </a:prstGeom>
                      <a:noFill/>
                      <a:ln w="3175" cap="flat" cmpd="sng" algn="ctr">
                        <a:solidFill>
                          <a:srgbClr val="969696"/>
                        </a:solidFill>
                        <a:prstDash val="solid"/>
                      </a:ln>
                      <a:effectLst/>
                    </wps:spPr>
                    <wps:bodyPr/>
                  </wps:wsp>
                </a:graphicData>
              </a:graphic>
            </wp:inline>
          </w:drawing>
        </mc:Choice>
        <mc:Fallback>
          <w:pict>
            <v:line w14:anchorId="0790AB62"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0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" strokecolor="#969696" strokeweight=".25pt">
              <v:path arrowok="f"/>
              <o:lock v:ext="edit" aspectratio="t" shapetype="f"/>
              <w10:anchorlock/>
            </v:line>
          </w:pict>
        </mc:Fallback>
      </mc:AlternateContent>
    </w:r>
    <w:r>
      <w:rPr>
        <w:noProof/>
      </w:rPr>
      <w:drawing>
        <wp:anchor distT="0" distB="0" distL="114300" distR="114300" simplePos="0" relativeHeight="251660288" behindDoc="0" locked="1" layoutInCell="1" allowOverlap="1" wp14:anchorId="703D118A" wp14:editId="75389DC8">
          <wp:simplePos x="0" y="0"/>
          <wp:positionH relativeFrom="page">
            <wp:posOffset>6381115</wp:posOffset>
          </wp:positionH>
          <wp:positionV relativeFrom="page">
            <wp:posOffset>674370</wp:posOffset>
          </wp:positionV>
          <wp:extent cx="774065" cy="302260"/>
          <wp:effectExtent l="0" t="0" r="698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34516" w14:textId="77777777" w:rsidR="009C1317" w:rsidRDefault="00513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6609B"/>
    <w:multiLevelType w:val="hybridMultilevel"/>
    <w:tmpl w:val="A8CC0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79"/>
    <w:rsid w:val="00513779"/>
    <w:rsid w:val="00E10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8D3B9"/>
  <w15:chartTrackingRefBased/>
  <w15:docId w15:val="{4D30AA87-6838-495E-8745-EA56EA68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79"/>
    <w:pPr>
      <w:spacing w:after="120" w:line="240" w:lineRule="atLeast"/>
    </w:pPr>
    <w:rPr>
      <w:rFonts w:ascii="Arial" w:eastAsia="Microsoft JhengHei" w:hAnsi="Arial" w:cs="Arial"/>
      <w:color w:val="161412"/>
      <w:lang w:eastAsia="zh-TW"/>
    </w:rPr>
  </w:style>
  <w:style w:type="paragraph" w:styleId="Heading1">
    <w:name w:val="heading 1"/>
    <w:basedOn w:val="Normal"/>
    <w:next w:val="Normal"/>
    <w:link w:val="Heading1Char"/>
    <w:uiPriority w:val="9"/>
    <w:qFormat/>
    <w:rsid w:val="005137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13779"/>
    <w:pPr>
      <w:tabs>
        <w:tab w:val="center" w:pos="4513"/>
        <w:tab w:val="right" w:pos="9026"/>
      </w:tabs>
      <w:spacing w:after="0" w:line="240" w:lineRule="auto"/>
    </w:pPr>
    <w:rPr>
      <w:rFonts w:ascii="Arial" w:eastAsia="Microsoft JhengHei" w:hAnsi="Arial" w:cs="Arial"/>
      <w:color w:val="161412"/>
      <w:sz w:val="16"/>
      <w:lang w:eastAsia="zh-TW"/>
    </w:rPr>
  </w:style>
  <w:style w:type="character" w:customStyle="1" w:styleId="HeaderChar">
    <w:name w:val="Header Char"/>
    <w:basedOn w:val="DefaultParagraphFont"/>
    <w:link w:val="Header"/>
    <w:uiPriority w:val="99"/>
    <w:rsid w:val="00513779"/>
    <w:rPr>
      <w:rFonts w:ascii="Arial" w:eastAsia="Microsoft JhengHei" w:hAnsi="Arial" w:cs="Arial"/>
      <w:color w:val="161412"/>
      <w:sz w:val="16"/>
      <w:lang w:eastAsia="zh-TW"/>
    </w:rPr>
  </w:style>
  <w:style w:type="paragraph" w:styleId="Footer">
    <w:name w:val="footer"/>
    <w:basedOn w:val="Normal"/>
    <w:link w:val="FooterChar"/>
    <w:uiPriority w:val="99"/>
    <w:rsid w:val="00513779"/>
    <w:pPr>
      <w:tabs>
        <w:tab w:val="right" w:pos="10206"/>
      </w:tabs>
      <w:spacing w:after="0" w:line="180" w:lineRule="atLeast"/>
    </w:pPr>
    <w:rPr>
      <w:sz w:val="14"/>
    </w:rPr>
  </w:style>
  <w:style w:type="character" w:customStyle="1" w:styleId="FooterChar">
    <w:name w:val="Footer Char"/>
    <w:basedOn w:val="DefaultParagraphFont"/>
    <w:link w:val="Footer"/>
    <w:uiPriority w:val="99"/>
    <w:rsid w:val="00513779"/>
    <w:rPr>
      <w:rFonts w:ascii="Arial" w:eastAsia="Microsoft JhengHei" w:hAnsi="Arial" w:cs="Arial"/>
      <w:color w:val="161412"/>
      <w:sz w:val="14"/>
      <w:lang w:eastAsia="zh-TW"/>
    </w:rPr>
  </w:style>
  <w:style w:type="character" w:customStyle="1" w:styleId="Heading1Char">
    <w:name w:val="Heading 1 Char"/>
    <w:basedOn w:val="DefaultParagraphFont"/>
    <w:link w:val="Heading1"/>
    <w:uiPriority w:val="9"/>
    <w:rsid w:val="00513779"/>
    <w:rPr>
      <w:rFonts w:asciiTheme="majorHAnsi" w:eastAsiaTheme="majorEastAsia" w:hAnsiTheme="majorHAnsi" w:cstheme="majorBidi"/>
      <w:color w:val="2F5496" w:themeColor="accent1" w:themeShade="BF"/>
      <w:sz w:val="32"/>
      <w:szCs w:val="32"/>
      <w:lang w:eastAsia="zh-TW"/>
    </w:rPr>
  </w:style>
  <w:style w:type="paragraph" w:styleId="TOCHeading">
    <w:name w:val="TOC Heading"/>
    <w:basedOn w:val="Heading1"/>
    <w:next w:val="Normal"/>
    <w:uiPriority w:val="39"/>
    <w:unhideWhenUsed/>
    <w:qFormat/>
    <w:rsid w:val="00513779"/>
    <w:pPr>
      <w:pageBreakBefore/>
      <w:spacing w:before="480" w:line="276" w:lineRule="auto"/>
      <w:outlineLvl w:val="9"/>
    </w:pPr>
    <w:rPr>
      <w:rFonts w:ascii="Arial" w:eastAsia="Microsoft JhengHei" w:hAnsi="Arial" w:cs="Arial"/>
      <w:b/>
      <w:bCs/>
      <w:color w:val="00A59B"/>
      <w:sz w:val="28"/>
      <w:szCs w:val="4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shaz.saeed@zoom.us</dc:creator>
  <cp:keywords/>
  <dc:description/>
  <cp:lastModifiedBy>shaz.saeed@zoom.us</cp:lastModifiedBy>
  <cp:revision>1</cp:revision>
  <dcterms:created xsi:type="dcterms:W3CDTF">2021-02-19T17:55:00Z</dcterms:created>
  <dcterms:modified xsi:type="dcterms:W3CDTF">2021-02-19T17:56:00Z</dcterms:modified>
</cp:coreProperties>
</file>